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14:paraId="09216A92" w14:textId="77777777" w:rsidTr="005941A4">
        <w:trPr>
          <w:trHeight w:val="1588"/>
        </w:trPr>
        <w:tc>
          <w:tcPr>
            <w:tcW w:w="9864" w:type="dxa"/>
            <w:tcBorders>
              <w:top w:val="nil"/>
              <w:bottom w:val="single" w:sz="2" w:space="0" w:color="auto"/>
            </w:tcBorders>
            <w:tcMar>
              <w:bottom w:w="170" w:type="dxa"/>
            </w:tcMar>
          </w:tcPr>
          <w:p w14:paraId="56F17BA6" w14:textId="77777777" w:rsidR="00106ED2" w:rsidRPr="00254119" w:rsidRDefault="00106ED2" w:rsidP="00EA3121"/>
        </w:tc>
      </w:tr>
      <w:tr w:rsidR="00943882" w14:paraId="32F904EB" w14:textId="77777777"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14:paraId="62021FA8" w14:textId="77777777" w:rsidR="00597C7E" w:rsidRDefault="00597C7E" w:rsidP="00597C7E">
            <w:pPr>
              <w:rPr>
                <w:rFonts w:asciiTheme="majorHAnsi" w:hAnsiTheme="majorHAnsi"/>
                <w:b/>
                <w:sz w:val="28"/>
              </w:rPr>
            </w:pPr>
          </w:p>
          <w:p w14:paraId="068547DA" w14:textId="066C767D" w:rsidR="003920BD" w:rsidRDefault="006344C8" w:rsidP="00C32E2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From rout to recovery</w:t>
            </w:r>
            <w:r w:rsidR="00C32E2D">
              <w:rPr>
                <w:rFonts w:asciiTheme="majorHAnsi" w:eastAsiaTheme="majorEastAsia" w:hAnsiTheme="majorHAnsi" w:cstheme="majorBidi"/>
                <w:b/>
                <w:bCs/>
                <w:sz w:val="28"/>
                <w:szCs w:val="28"/>
              </w:rPr>
              <w:t xml:space="preserve"> </w:t>
            </w:r>
            <w:r w:rsidR="00B92D4A">
              <w:rPr>
                <w:rFonts w:asciiTheme="majorHAnsi" w:eastAsiaTheme="majorEastAsia" w:hAnsiTheme="majorHAnsi" w:cstheme="majorBidi"/>
                <w:b/>
                <w:bCs/>
                <w:sz w:val="28"/>
                <w:szCs w:val="28"/>
              </w:rPr>
              <w:t xml:space="preserve">– </w:t>
            </w:r>
            <w:r w:rsidR="00B92D4A" w:rsidRPr="00B92D4A">
              <w:rPr>
                <w:rFonts w:asciiTheme="majorHAnsi" w:eastAsiaTheme="majorEastAsia" w:hAnsiTheme="majorHAnsi" w:cstheme="majorBidi"/>
                <w:b/>
                <w:bCs/>
                <w:sz w:val="28"/>
                <w:szCs w:val="28"/>
              </w:rPr>
              <w:t xml:space="preserve">Luca  </w:t>
            </w:r>
            <w:proofErr w:type="spellStart"/>
            <w:r w:rsidR="00B92D4A" w:rsidRPr="00B92D4A">
              <w:rPr>
                <w:rFonts w:asciiTheme="majorHAnsi" w:eastAsiaTheme="majorEastAsia" w:hAnsiTheme="majorHAnsi" w:cstheme="majorBidi"/>
                <w:b/>
                <w:bCs/>
                <w:sz w:val="28"/>
                <w:szCs w:val="28"/>
              </w:rPr>
              <w:t>Paolini</w:t>
            </w:r>
            <w:proofErr w:type="spellEnd"/>
            <w:r w:rsidR="00B92D4A" w:rsidRPr="00B92D4A">
              <w:rPr>
                <w:rFonts w:asciiTheme="majorHAnsi" w:eastAsiaTheme="majorEastAsia" w:hAnsiTheme="majorHAnsi" w:cstheme="majorBidi"/>
                <w:b/>
                <w:bCs/>
                <w:sz w:val="28"/>
                <w:szCs w:val="28"/>
              </w:rPr>
              <w:t xml:space="preserve">,  </w:t>
            </w:r>
            <w:proofErr w:type="spellStart"/>
            <w:r w:rsidR="00B92D4A" w:rsidRPr="00B92D4A">
              <w:rPr>
                <w:rFonts w:asciiTheme="majorHAnsi" w:eastAsiaTheme="majorEastAsia" w:hAnsiTheme="majorHAnsi" w:cstheme="majorBidi"/>
                <w:b/>
                <w:bCs/>
                <w:sz w:val="28"/>
                <w:szCs w:val="28"/>
              </w:rPr>
              <w:t>Pictet</w:t>
            </w:r>
            <w:proofErr w:type="spellEnd"/>
            <w:r w:rsidR="00B92D4A" w:rsidRPr="00B92D4A">
              <w:rPr>
                <w:rFonts w:asciiTheme="majorHAnsi" w:eastAsiaTheme="majorEastAsia" w:hAnsiTheme="majorHAnsi" w:cstheme="majorBidi"/>
                <w:b/>
                <w:bCs/>
                <w:sz w:val="28"/>
                <w:szCs w:val="28"/>
              </w:rPr>
              <w:t xml:space="preserve"> Asset Management</w:t>
            </w:r>
          </w:p>
          <w:p w14:paraId="4222252D" w14:textId="77777777" w:rsidR="008B2D67" w:rsidRPr="003920BD" w:rsidRDefault="008B2D67" w:rsidP="004E15AD">
            <w:pPr>
              <w:rPr>
                <w:rFonts w:asciiTheme="majorHAnsi" w:hAnsiTheme="majorHAnsi"/>
                <w:b/>
                <w:sz w:val="28"/>
              </w:rPr>
            </w:pPr>
          </w:p>
        </w:tc>
      </w:tr>
      <w:tr w:rsidR="00943882" w14:paraId="74479FCA" w14:textId="77777777"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14:paraId="163E6F7C" w14:textId="097D285D" w:rsidR="00943882" w:rsidRPr="00A71A6A" w:rsidRDefault="00943882" w:rsidP="0010207D">
            <w:pPr>
              <w:pStyle w:val="BusinesslineandDate"/>
              <w:rPr>
                <w:szCs w:val="19"/>
              </w:rPr>
            </w:pP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0863ED" w:rsidRPr="00A71A6A">
              <w:rPr>
                <w:szCs w:val="19"/>
              </w:rPr>
              <w:instrText>29 July 2013</w:instrText>
            </w:r>
            <w:r w:rsidR="00DD63B5" w:rsidRPr="00A71A6A">
              <w:rPr>
                <w:szCs w:val="19"/>
              </w:rPr>
              <w:fldChar w:fldCharType="end"/>
            </w:r>
            <w:r w:rsidRPr="00A71A6A">
              <w:rPr>
                <w:szCs w:val="19"/>
              </w:rPr>
              <w:instrText>" "</w:instrText>
            </w: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Pr="00A71A6A">
              <w:rPr>
                <w:szCs w:val="19"/>
              </w:rPr>
              <w:instrText>Author/BL</w:instrText>
            </w:r>
            <w:r w:rsidR="00DD63B5" w:rsidRPr="00A71A6A">
              <w:rPr>
                <w:szCs w:val="19"/>
              </w:rPr>
              <w:fldChar w:fldCharType="end"/>
            </w:r>
            <w:r w:rsidRPr="00A71A6A">
              <w:rPr>
                <w:szCs w:val="19"/>
              </w:rPr>
              <w:instrText>"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xml:space="preserve">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xml:space="preserve">" </w:instrText>
            </w:r>
            <w:r w:rsidRPr="00A71A6A">
              <w:rPr>
                <w:szCs w:val="19"/>
              </w:rPr>
              <w:fldChar w:fldCharType="separate"/>
            </w:r>
            <w:r w:rsidR="007C3DE6" w:rsidRPr="00A71A6A">
              <w:rPr>
                <w:noProof/>
                <w:szCs w:val="19"/>
              </w:rPr>
              <w:instrText>The Pictet Group  |  29 July 2013</w:instrText>
            </w:r>
            <w:r w:rsidRPr="00A71A6A">
              <w:rPr>
                <w:szCs w:val="19"/>
              </w:rPr>
              <w:fldChar w:fldCharType="end"/>
            </w:r>
            <w:r w:rsidRPr="00A71A6A">
              <w:rPr>
                <w:szCs w:val="19"/>
              </w:rPr>
              <w:instrText xml:space="preserve"> </w:instrText>
            </w:r>
            <w:r w:rsidRPr="00A71A6A">
              <w:rPr>
                <w:szCs w:val="19"/>
              </w:rPr>
              <w:fldChar w:fldCharType="separate"/>
            </w:r>
            <w:r w:rsidR="0010207D">
              <w:rPr>
                <w:noProof/>
                <w:szCs w:val="19"/>
              </w:rPr>
              <w:t>Die</w:t>
            </w:r>
            <w:r w:rsidR="00F34D21" w:rsidRPr="00A71A6A">
              <w:rPr>
                <w:noProof/>
                <w:szCs w:val="19"/>
              </w:rPr>
              <w:t xml:space="preserve"> Pictet</w:t>
            </w:r>
            <w:r w:rsidR="0010207D">
              <w:rPr>
                <w:noProof/>
                <w:szCs w:val="19"/>
              </w:rPr>
              <w:t>-Gruppe</w:t>
            </w:r>
            <w:r w:rsidR="00F34D21" w:rsidRPr="00A71A6A">
              <w:rPr>
                <w:noProof/>
                <w:szCs w:val="19"/>
              </w:rPr>
              <w:t xml:space="preserve"> | </w:t>
            </w:r>
            <w:r w:rsidR="0010207D">
              <w:rPr>
                <w:noProof/>
                <w:szCs w:val="19"/>
              </w:rPr>
              <w:t>12.</w:t>
            </w:r>
            <w:r w:rsidR="00371FD6">
              <w:rPr>
                <w:noProof/>
                <w:szCs w:val="19"/>
              </w:rPr>
              <w:t xml:space="preserve"> </w:t>
            </w:r>
            <w:r w:rsidR="006344C8">
              <w:rPr>
                <w:noProof/>
                <w:szCs w:val="19"/>
              </w:rPr>
              <w:t>November</w:t>
            </w:r>
            <w:r w:rsidR="00C32E2D">
              <w:rPr>
                <w:noProof/>
                <w:szCs w:val="19"/>
              </w:rPr>
              <w:t xml:space="preserve"> </w:t>
            </w:r>
            <w:r w:rsidR="00997D11">
              <w:rPr>
                <w:noProof/>
                <w:szCs w:val="19"/>
              </w:rPr>
              <w:t>201</w:t>
            </w:r>
            <w:r w:rsidRPr="00A71A6A">
              <w:rPr>
                <w:szCs w:val="19"/>
              </w:rPr>
              <w:fldChar w:fldCharType="end"/>
            </w:r>
            <w:r w:rsidR="00B92D4A">
              <w:rPr>
                <w:szCs w:val="19"/>
              </w:rPr>
              <w:t>8</w:t>
            </w:r>
          </w:p>
        </w:tc>
      </w:tr>
    </w:tbl>
    <w:p w14:paraId="7ACA0DFA" w14:textId="77777777" w:rsidR="00943882" w:rsidRPr="00256B56" w:rsidRDefault="00943882" w:rsidP="008D4B1A">
      <w:pPr>
        <w:pStyle w:val="Base"/>
        <w:rPr>
          <w:sz w:val="15"/>
        </w:rPr>
      </w:pPr>
    </w:p>
    <w:p w14:paraId="34872AEE" w14:textId="77777777" w:rsidR="0040581E" w:rsidRPr="008A6FC8" w:rsidRDefault="0040581E" w:rsidP="008A6FC8">
      <w:pPr>
        <w:pStyle w:val="Base"/>
        <w:rPr>
          <w:sz w:val="2"/>
        </w:rPr>
      </w:pPr>
    </w:p>
    <w:p w14:paraId="5B2A1A42" w14:textId="77777777" w:rsidR="0010207D" w:rsidRPr="00224228" w:rsidRDefault="0010207D" w:rsidP="0010207D">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14:paraId="793E3E6C" w14:textId="77777777" w:rsidR="0010207D" w:rsidRPr="00224228" w:rsidRDefault="0010207D" w:rsidP="0010207D">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14:paraId="63EDBD61" w14:textId="77777777" w:rsidR="0010207D" w:rsidRPr="006435C4" w:rsidRDefault="0010207D" w:rsidP="0010207D">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14:paraId="32870DBA" w14:textId="77777777" w:rsidR="0010207D" w:rsidRPr="006435C4" w:rsidRDefault="0010207D" w:rsidP="0010207D">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14:paraId="64C3C948" w14:textId="02266A19" w:rsidR="008A6FC8" w:rsidRPr="002520B1" w:rsidRDefault="0010207D" w:rsidP="0010207D">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r w:rsidR="00133E36" w:rsidRPr="000863ED">
        <w:rPr>
          <w:rFonts w:ascii="TradeGothic CondEighteen" w:hAnsi="TradeGothic CondEighteen"/>
          <w:color w:val="000000"/>
          <w:sz w:val="21"/>
          <w:szCs w:val="21"/>
          <w:lang w:val="en-US"/>
        </w:rPr>
        <w:t xml:space="preserve"> </w:t>
      </w:r>
    </w:p>
    <w:p w14:paraId="460DAAF2" w14:textId="72C8C2E2" w:rsidR="00145C3A" w:rsidRPr="00145C3A" w:rsidRDefault="00145C3A" w:rsidP="00145C3A">
      <w:pPr>
        <w:spacing w:after="0"/>
        <w:jc w:val="both"/>
        <w:rPr>
          <w:rFonts w:asciiTheme="majorHAnsi" w:hAnsiTheme="majorHAnsi"/>
        </w:rPr>
      </w:pPr>
      <w:proofErr w:type="gramStart"/>
      <w:r w:rsidRPr="00145C3A">
        <w:rPr>
          <w:rFonts w:asciiTheme="majorHAnsi" w:hAnsiTheme="majorHAnsi"/>
        </w:rPr>
        <w:t>Lo</w:t>
      </w:r>
      <w:r w:rsidR="00E16BE4">
        <w:rPr>
          <w:rFonts w:asciiTheme="majorHAnsi" w:hAnsiTheme="majorHAnsi"/>
        </w:rPr>
        <w:t>ndon</w:t>
      </w:r>
      <w:r w:rsidR="006952E7">
        <w:rPr>
          <w:rFonts w:asciiTheme="majorHAnsi" w:hAnsiTheme="majorHAnsi"/>
        </w:rPr>
        <w:t xml:space="preserve"> / Frankfurt</w:t>
      </w:r>
      <w:bookmarkStart w:id="0" w:name="_GoBack"/>
      <w:bookmarkEnd w:id="0"/>
      <w:r w:rsidR="00E16BE4">
        <w:rPr>
          <w:rFonts w:asciiTheme="majorHAnsi" w:hAnsiTheme="majorHAnsi"/>
        </w:rPr>
        <w:t xml:space="preserve">, </w:t>
      </w:r>
      <w:r w:rsidR="0010207D">
        <w:rPr>
          <w:rFonts w:asciiTheme="majorHAnsi" w:hAnsiTheme="majorHAnsi"/>
        </w:rPr>
        <w:t>12.</w:t>
      </w:r>
      <w:proofErr w:type="gramEnd"/>
      <w:r w:rsidR="00E16BE4">
        <w:rPr>
          <w:rFonts w:asciiTheme="majorHAnsi" w:hAnsiTheme="majorHAnsi"/>
        </w:rPr>
        <w:t xml:space="preserve"> </w:t>
      </w:r>
      <w:r w:rsidR="006344C8">
        <w:rPr>
          <w:rFonts w:asciiTheme="majorHAnsi" w:hAnsiTheme="majorHAnsi"/>
        </w:rPr>
        <w:t>November</w:t>
      </w:r>
      <w:r w:rsidR="00E16BE4">
        <w:rPr>
          <w:rFonts w:asciiTheme="majorHAnsi" w:hAnsiTheme="majorHAnsi"/>
        </w:rPr>
        <w:t xml:space="preserve"> </w:t>
      </w:r>
      <w:r w:rsidRPr="00145C3A">
        <w:rPr>
          <w:rFonts w:asciiTheme="majorHAnsi" w:hAnsiTheme="majorHAnsi"/>
        </w:rPr>
        <w:t>201</w:t>
      </w:r>
      <w:r w:rsidR="00B92D4A">
        <w:rPr>
          <w:rFonts w:asciiTheme="majorHAnsi" w:hAnsiTheme="majorHAnsi"/>
        </w:rPr>
        <w:t>8</w:t>
      </w:r>
    </w:p>
    <w:p w14:paraId="1563CCF3" w14:textId="77777777" w:rsidR="00145C3A" w:rsidRPr="00145C3A" w:rsidRDefault="00145C3A" w:rsidP="00145C3A">
      <w:pPr>
        <w:spacing w:after="0"/>
        <w:jc w:val="both"/>
        <w:rPr>
          <w:rFonts w:asciiTheme="majorHAnsi" w:hAnsiTheme="majorHAnsi"/>
        </w:rPr>
      </w:pPr>
    </w:p>
    <w:p w14:paraId="30BA413F" w14:textId="3880523B" w:rsidR="00A44EC7" w:rsidRDefault="00073492" w:rsidP="006C4305">
      <w:pPr>
        <w:jc w:val="both"/>
        <w:rPr>
          <w:rFonts w:ascii="Palatino Linotype" w:hAnsi="Palatino Linotype"/>
          <w:sz w:val="21"/>
          <w:szCs w:val="21"/>
        </w:rPr>
      </w:pPr>
      <w:r w:rsidRPr="00073492">
        <w:rPr>
          <w:rFonts w:ascii="Palatino Linotype" w:hAnsi="Palatino Linotype"/>
          <w:sz w:val="21"/>
          <w:szCs w:val="21"/>
        </w:rPr>
        <w:t>“</w:t>
      </w:r>
      <w:r w:rsidR="006344C8" w:rsidRPr="006344C8">
        <w:rPr>
          <w:rFonts w:ascii="Palatino Linotype" w:hAnsi="Palatino Linotype"/>
          <w:sz w:val="21"/>
          <w:szCs w:val="21"/>
        </w:rPr>
        <w:t>October proved a cruel month for equities</w:t>
      </w:r>
      <w:r w:rsidR="006C4305">
        <w:rPr>
          <w:rFonts w:ascii="Palatino Linotype" w:hAnsi="Palatino Linotype"/>
          <w:sz w:val="21"/>
          <w:szCs w:val="21"/>
        </w:rPr>
        <w:t xml:space="preserve">,” </w:t>
      </w:r>
      <w:r w:rsidR="00A44EC7" w:rsidRPr="00FA50F0">
        <w:rPr>
          <w:rFonts w:ascii="Palatino Linotype" w:hAnsi="Palatino Linotype"/>
          <w:sz w:val="21"/>
          <w:szCs w:val="21"/>
        </w:rPr>
        <w:t xml:space="preserve">says </w:t>
      </w:r>
      <w:r w:rsidR="00A44EC7" w:rsidRPr="00BF0F94">
        <w:rPr>
          <w:rFonts w:ascii="Palatino Linotype" w:hAnsi="Palatino Linotype"/>
          <w:b/>
          <w:sz w:val="21"/>
          <w:szCs w:val="21"/>
        </w:rPr>
        <w:t xml:space="preserve">Luca </w:t>
      </w:r>
      <w:proofErr w:type="spellStart"/>
      <w:r w:rsidR="00A44EC7" w:rsidRPr="00BF0F94">
        <w:rPr>
          <w:rFonts w:ascii="Palatino Linotype" w:hAnsi="Palatino Linotype"/>
          <w:b/>
          <w:sz w:val="21"/>
          <w:szCs w:val="21"/>
        </w:rPr>
        <w:t>Paolini</w:t>
      </w:r>
      <w:proofErr w:type="spellEnd"/>
      <w:r w:rsidR="00A44EC7" w:rsidRPr="00FA50F0">
        <w:rPr>
          <w:rFonts w:ascii="Palatino Linotype" w:hAnsi="Palatino Linotype"/>
          <w:sz w:val="21"/>
          <w:szCs w:val="21"/>
        </w:rPr>
        <w:t>, c</w:t>
      </w:r>
      <w:r w:rsidR="00A44EC7" w:rsidRPr="00194906">
        <w:rPr>
          <w:rFonts w:ascii="Palatino Linotype" w:hAnsi="Palatino Linotype"/>
          <w:b/>
          <w:sz w:val="21"/>
          <w:szCs w:val="21"/>
        </w:rPr>
        <w:t xml:space="preserve">hief </w:t>
      </w:r>
      <w:r w:rsidR="00A44EC7" w:rsidRPr="00BF0F94">
        <w:rPr>
          <w:rFonts w:ascii="Palatino Linotype" w:hAnsi="Palatino Linotype"/>
          <w:b/>
          <w:sz w:val="21"/>
          <w:szCs w:val="21"/>
        </w:rPr>
        <w:t xml:space="preserve">strategist </w:t>
      </w:r>
      <w:r w:rsidR="00A44EC7" w:rsidRPr="00FA50F0">
        <w:rPr>
          <w:rFonts w:ascii="Palatino Linotype" w:hAnsi="Palatino Linotype"/>
          <w:sz w:val="21"/>
          <w:szCs w:val="21"/>
        </w:rPr>
        <w:t xml:space="preserve">at </w:t>
      </w:r>
      <w:proofErr w:type="spellStart"/>
      <w:r w:rsidR="00A44EC7" w:rsidRPr="00BF0F94">
        <w:rPr>
          <w:rFonts w:ascii="Palatino Linotype" w:hAnsi="Palatino Linotype"/>
          <w:b/>
          <w:sz w:val="21"/>
          <w:szCs w:val="21"/>
        </w:rPr>
        <w:t>Pictet</w:t>
      </w:r>
      <w:proofErr w:type="spellEnd"/>
      <w:r w:rsidR="00A44EC7" w:rsidRPr="00BF0F94">
        <w:rPr>
          <w:rFonts w:ascii="Palatino Linotype" w:hAnsi="Palatino Linotype"/>
          <w:b/>
          <w:sz w:val="21"/>
          <w:szCs w:val="21"/>
        </w:rPr>
        <w:t xml:space="preserve"> Asset Management</w:t>
      </w:r>
      <w:r w:rsidR="00A44EC7" w:rsidRPr="00FA50F0">
        <w:rPr>
          <w:rFonts w:ascii="Palatino Linotype" w:hAnsi="Palatino Linotype"/>
          <w:sz w:val="21"/>
          <w:szCs w:val="21"/>
        </w:rPr>
        <w:t>.</w:t>
      </w:r>
    </w:p>
    <w:p w14:paraId="7465E5DA" w14:textId="703630FC" w:rsidR="00A44EC7" w:rsidRDefault="00A44EC7" w:rsidP="00A44EC7">
      <w:pPr>
        <w:jc w:val="both"/>
        <w:rPr>
          <w:rFonts w:ascii="Palatino Linotype" w:hAnsi="Palatino Linotype"/>
          <w:sz w:val="21"/>
          <w:szCs w:val="21"/>
        </w:rPr>
      </w:pPr>
      <w:r>
        <w:rPr>
          <w:rFonts w:ascii="Palatino Linotype" w:hAnsi="Palatino Linotype"/>
          <w:sz w:val="21"/>
          <w:szCs w:val="21"/>
        </w:rPr>
        <w:t>“</w:t>
      </w:r>
      <w:r w:rsidR="006344C8" w:rsidRPr="006344C8">
        <w:rPr>
          <w:rFonts w:ascii="Palatino Linotype" w:hAnsi="Palatino Linotype"/>
          <w:sz w:val="21"/>
          <w:szCs w:val="21"/>
        </w:rPr>
        <w:t xml:space="preserve">Yet, there is plenty of scope for stocks to stage a recovery, which is why we have raised </w:t>
      </w:r>
      <w:r w:rsidR="00123407">
        <w:rPr>
          <w:rFonts w:ascii="Palatino Linotype" w:hAnsi="Palatino Linotype"/>
          <w:sz w:val="21"/>
          <w:szCs w:val="21"/>
        </w:rPr>
        <w:t xml:space="preserve">our allocation to equities to </w:t>
      </w:r>
      <w:r w:rsidR="006344C8" w:rsidRPr="006344C8">
        <w:rPr>
          <w:rFonts w:ascii="Palatino Linotype" w:hAnsi="Palatino Linotype"/>
          <w:sz w:val="21"/>
          <w:szCs w:val="21"/>
        </w:rPr>
        <w:t xml:space="preserve">overweight from </w:t>
      </w:r>
      <w:proofErr w:type="gramStart"/>
      <w:r w:rsidR="006344C8" w:rsidRPr="006344C8">
        <w:rPr>
          <w:rFonts w:ascii="Palatino Linotype" w:hAnsi="Palatino Linotype"/>
          <w:sz w:val="21"/>
          <w:szCs w:val="21"/>
        </w:rPr>
        <w:t>neutral</w:t>
      </w:r>
      <w:r w:rsidR="006344C8">
        <w:rPr>
          <w:rFonts w:ascii="Palatino Linotype" w:hAnsi="Palatino Linotype"/>
          <w:sz w:val="21"/>
          <w:szCs w:val="21"/>
        </w:rPr>
        <w:t>,</w:t>
      </w:r>
      <w:proofErr w:type="gramEnd"/>
      <w:r w:rsidR="006344C8" w:rsidRPr="006344C8">
        <w:rPr>
          <w:rFonts w:ascii="Palatino Linotype" w:hAnsi="Palatino Linotype"/>
          <w:sz w:val="21"/>
          <w:szCs w:val="21"/>
        </w:rPr>
        <w:t xml:space="preserve"> and downgraded bonds to underweight.</w:t>
      </w:r>
      <w:r w:rsidR="0010207D">
        <w:rPr>
          <w:rFonts w:ascii="Palatino Linotype" w:hAnsi="Palatino Linotype"/>
          <w:sz w:val="21"/>
          <w:szCs w:val="21"/>
        </w:rPr>
        <w:t>”</w:t>
      </w:r>
    </w:p>
    <w:p w14:paraId="0D3CD2E5" w14:textId="2B87144F"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Whilst it is true that the </w:t>
      </w:r>
      <w:r>
        <w:rPr>
          <w:rFonts w:ascii="Palatino Linotype" w:hAnsi="Palatino Linotype"/>
          <w:sz w:val="21"/>
          <w:szCs w:val="21"/>
        </w:rPr>
        <w:t xml:space="preserve">equity </w:t>
      </w:r>
      <w:r w:rsidRPr="006344C8">
        <w:rPr>
          <w:rFonts w:ascii="Palatino Linotype" w:hAnsi="Palatino Linotype"/>
          <w:sz w:val="21"/>
          <w:szCs w:val="21"/>
        </w:rPr>
        <w:t>bull marke</w:t>
      </w:r>
      <w:r>
        <w:rPr>
          <w:rFonts w:ascii="Palatino Linotype" w:hAnsi="Palatino Linotype"/>
          <w:sz w:val="21"/>
          <w:szCs w:val="21"/>
        </w:rPr>
        <w:t>t of</w:t>
      </w:r>
      <w:r w:rsidRPr="006344C8">
        <w:rPr>
          <w:rFonts w:ascii="Palatino Linotype" w:hAnsi="Palatino Linotype"/>
          <w:sz w:val="21"/>
          <w:szCs w:val="21"/>
        </w:rPr>
        <w:t xml:space="preserve"> much of the last decade had gone too far, so too did October’s sharp correction.</w:t>
      </w:r>
      <w:r w:rsidR="0010207D">
        <w:rPr>
          <w:rFonts w:ascii="Palatino Linotype" w:hAnsi="Palatino Linotype"/>
          <w:sz w:val="21"/>
          <w:szCs w:val="21"/>
        </w:rPr>
        <w:t>”</w:t>
      </w:r>
    </w:p>
    <w:p w14:paraId="7307A07A" w14:textId="3A84EF41"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That sharp repricing of stocks has taken equity valuations to below their average of the past three decades for the first time in two years – a shift that is at odds with fundamentals.</w:t>
      </w:r>
      <w:r w:rsidR="0010207D">
        <w:rPr>
          <w:rFonts w:ascii="Palatino Linotype" w:hAnsi="Palatino Linotype"/>
          <w:sz w:val="21"/>
          <w:szCs w:val="21"/>
        </w:rPr>
        <w:t>”</w:t>
      </w:r>
    </w:p>
    <w:p w14:paraId="68795A65" w14:textId="536F5AF2"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Cyclical and emerging market (EM) stocks are likely to benefit most from this short-term bounce. Although global economic growth and corporate earnings </w:t>
      </w:r>
      <w:r>
        <w:rPr>
          <w:rFonts w:ascii="Palatino Linotype" w:hAnsi="Palatino Linotype"/>
          <w:sz w:val="21"/>
          <w:szCs w:val="21"/>
        </w:rPr>
        <w:t>are already rolling over</w:t>
      </w:r>
      <w:r w:rsidRPr="006344C8">
        <w:rPr>
          <w:rFonts w:ascii="Palatino Linotype" w:hAnsi="Palatino Linotype"/>
          <w:sz w:val="21"/>
          <w:szCs w:val="21"/>
        </w:rPr>
        <w:t xml:space="preserve"> from their peak earlier in the year, history tells us it’s even more damaging to sell out of the last, frothy stage of a bull cycle than it is to sell too late.</w:t>
      </w:r>
      <w:r w:rsidR="0010207D">
        <w:rPr>
          <w:rFonts w:ascii="Palatino Linotype" w:hAnsi="Palatino Linotype"/>
          <w:sz w:val="21"/>
          <w:szCs w:val="21"/>
        </w:rPr>
        <w:t>”</w:t>
      </w:r>
    </w:p>
    <w:p w14:paraId="6469DB2A" w14:textId="04D08470"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Some of the biggest losers during recent months were global cyclical stocks. They are now the most oversold</w:t>
      </w:r>
      <w:r>
        <w:rPr>
          <w:rFonts w:ascii="Palatino Linotype" w:hAnsi="Palatino Linotype"/>
          <w:sz w:val="21"/>
          <w:szCs w:val="21"/>
        </w:rPr>
        <w:t xml:space="preserve"> companies</w:t>
      </w:r>
      <w:r w:rsidRPr="006344C8">
        <w:rPr>
          <w:rFonts w:ascii="Palatino Linotype" w:hAnsi="Palatino Linotype"/>
          <w:sz w:val="21"/>
          <w:szCs w:val="21"/>
        </w:rPr>
        <w:t xml:space="preserve"> in seven years, which has opened up pockets of value.</w:t>
      </w:r>
      <w:r w:rsidR="0010207D">
        <w:rPr>
          <w:rFonts w:ascii="Palatino Linotype" w:hAnsi="Palatino Linotype"/>
          <w:sz w:val="21"/>
          <w:szCs w:val="21"/>
        </w:rPr>
        <w:t>”</w:t>
      </w:r>
    </w:p>
    <w:p w14:paraId="4383C2A0" w14:textId="7DCE8E65" w:rsid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As a result, we retain our preference for inexpensive cyclical markets, particularly emerging markets and </w:t>
      </w:r>
      <w:r>
        <w:rPr>
          <w:rFonts w:ascii="Palatino Linotype" w:hAnsi="Palatino Linotype"/>
          <w:sz w:val="21"/>
          <w:szCs w:val="21"/>
        </w:rPr>
        <w:t xml:space="preserve">the considerably undervalued </w:t>
      </w:r>
      <w:r w:rsidRPr="006344C8">
        <w:rPr>
          <w:rFonts w:ascii="Palatino Linotype" w:hAnsi="Palatino Linotype"/>
          <w:sz w:val="21"/>
          <w:szCs w:val="21"/>
        </w:rPr>
        <w:t>Japan</w:t>
      </w:r>
      <w:r>
        <w:rPr>
          <w:rFonts w:ascii="Palatino Linotype" w:hAnsi="Palatino Linotype"/>
          <w:sz w:val="21"/>
          <w:szCs w:val="21"/>
        </w:rPr>
        <w:t xml:space="preserve"> stock market</w:t>
      </w:r>
      <w:r w:rsidRPr="006344C8">
        <w:rPr>
          <w:rFonts w:ascii="Palatino Linotype" w:hAnsi="Palatino Linotype"/>
          <w:sz w:val="21"/>
          <w:szCs w:val="21"/>
        </w:rPr>
        <w:t>.</w:t>
      </w:r>
      <w:r w:rsidR="0010207D">
        <w:rPr>
          <w:rFonts w:ascii="Palatino Linotype" w:hAnsi="Palatino Linotype"/>
          <w:sz w:val="21"/>
          <w:szCs w:val="21"/>
        </w:rPr>
        <w:t>”</w:t>
      </w:r>
      <w:r w:rsidRPr="006344C8">
        <w:rPr>
          <w:rFonts w:ascii="Palatino Linotype" w:hAnsi="Palatino Linotype"/>
          <w:sz w:val="21"/>
          <w:szCs w:val="21"/>
        </w:rPr>
        <w:t xml:space="preserve"> </w:t>
      </w:r>
    </w:p>
    <w:p w14:paraId="30371C3D" w14:textId="3B03354D"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Asian markets represent particularly good value</w:t>
      </w:r>
      <w:r w:rsidR="00E42033">
        <w:rPr>
          <w:rFonts w:ascii="Palatino Linotype" w:hAnsi="Palatino Linotype"/>
          <w:sz w:val="21"/>
          <w:szCs w:val="21"/>
        </w:rPr>
        <w:t xml:space="preserve">, </w:t>
      </w:r>
      <w:r w:rsidRPr="006344C8">
        <w:rPr>
          <w:rFonts w:ascii="Palatino Linotype" w:hAnsi="Palatino Linotype"/>
          <w:sz w:val="21"/>
          <w:szCs w:val="21"/>
        </w:rPr>
        <w:t>having been battered by concerns about trade wars and a slowdown in China.</w:t>
      </w:r>
      <w:r w:rsidR="0010207D">
        <w:rPr>
          <w:rFonts w:ascii="Palatino Linotype" w:hAnsi="Palatino Linotype"/>
          <w:sz w:val="21"/>
          <w:szCs w:val="21"/>
        </w:rPr>
        <w:t>”</w:t>
      </w:r>
    </w:p>
    <w:p w14:paraId="24F130B3" w14:textId="0140696D" w:rsidR="006344C8" w:rsidRPr="006344C8" w:rsidRDefault="006344C8" w:rsidP="006344C8">
      <w:pPr>
        <w:jc w:val="both"/>
        <w:rPr>
          <w:rFonts w:ascii="Palatino Linotype" w:hAnsi="Palatino Linotype"/>
          <w:sz w:val="21"/>
          <w:szCs w:val="21"/>
        </w:rPr>
      </w:pPr>
      <w:r>
        <w:rPr>
          <w:rFonts w:ascii="Palatino Linotype" w:hAnsi="Palatino Linotype"/>
          <w:sz w:val="21"/>
          <w:szCs w:val="21"/>
        </w:rPr>
        <w:lastRenderedPageBreak/>
        <w:t>“</w:t>
      </w:r>
      <w:r w:rsidRPr="006344C8">
        <w:rPr>
          <w:rFonts w:ascii="Palatino Linotype" w:hAnsi="Palatino Linotype"/>
          <w:sz w:val="21"/>
          <w:szCs w:val="21"/>
        </w:rPr>
        <w:t>Any signs of a rapprochement between the US and China on tariffs - which may emerge in November – could spark a revival in EM stocks.</w:t>
      </w:r>
      <w:r w:rsidR="0010207D">
        <w:rPr>
          <w:rFonts w:ascii="Palatino Linotype" w:hAnsi="Palatino Linotype"/>
          <w:sz w:val="21"/>
          <w:szCs w:val="21"/>
        </w:rPr>
        <w:t>”</w:t>
      </w:r>
    </w:p>
    <w:p w14:paraId="3B284244" w14:textId="65C92969"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Meanwhile, we have raised industrial stocks to overweight following the sector’s recent selloff, whilst we’ve downgraded information technology to underweight. Even after lurching lower, the sector remains </w:t>
      </w:r>
      <w:r>
        <w:rPr>
          <w:rFonts w:ascii="Palatino Linotype" w:hAnsi="Palatino Linotype"/>
          <w:sz w:val="21"/>
          <w:szCs w:val="21"/>
        </w:rPr>
        <w:t>very</w:t>
      </w:r>
      <w:r w:rsidRPr="006344C8">
        <w:rPr>
          <w:rFonts w:ascii="Palatino Linotype" w:hAnsi="Palatino Linotype"/>
          <w:sz w:val="21"/>
          <w:szCs w:val="21"/>
        </w:rPr>
        <w:t xml:space="preserve"> expensive and growth stocks will continue to come under pressure if, as we expect, bond yields continue to rise.</w:t>
      </w:r>
      <w:r w:rsidR="0010207D">
        <w:rPr>
          <w:rFonts w:ascii="Palatino Linotype" w:hAnsi="Palatino Linotype"/>
          <w:sz w:val="21"/>
          <w:szCs w:val="21"/>
        </w:rPr>
        <w:t>”</w:t>
      </w:r>
    </w:p>
    <w:p w14:paraId="4491D9DA" w14:textId="13BFBAF6"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We still like late-cycle cyclical sectors such as energy and mining, as well as health care. By contrast, rising inflation and interest rates should prove a headwind for consumer discretionary stocks – indeed, house builders and car makers are already starting to struggle.</w:t>
      </w:r>
      <w:r w:rsidR="0010207D">
        <w:rPr>
          <w:rFonts w:ascii="Palatino Linotype" w:hAnsi="Palatino Linotype"/>
          <w:sz w:val="21"/>
          <w:szCs w:val="21"/>
        </w:rPr>
        <w:t>”</w:t>
      </w:r>
    </w:p>
    <w:p w14:paraId="28D128A4" w14:textId="755E023A"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The stars are also aligned for a recovery in local currency emerging market debt. Some of the market’s re-evaluation of EM bonds and currencies was justified. But just as the market had rallied too hard in 2017, it has pulled back too much since. Economic prospects may look less rosy, but they're still positive.</w:t>
      </w:r>
      <w:r w:rsidR="0010207D">
        <w:rPr>
          <w:rFonts w:ascii="Palatino Linotype" w:hAnsi="Palatino Linotype"/>
          <w:sz w:val="21"/>
          <w:szCs w:val="21"/>
        </w:rPr>
        <w:t>”</w:t>
      </w:r>
    </w:p>
    <w:p w14:paraId="67D32AB4" w14:textId="7DED287C" w:rsid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EM policymakers have largely responded </w:t>
      </w:r>
      <w:r>
        <w:rPr>
          <w:rFonts w:ascii="Palatino Linotype" w:hAnsi="Palatino Linotype"/>
          <w:sz w:val="21"/>
          <w:szCs w:val="21"/>
        </w:rPr>
        <w:t xml:space="preserve">well </w:t>
      </w:r>
      <w:r w:rsidRPr="006344C8">
        <w:rPr>
          <w:rFonts w:ascii="Palatino Linotype" w:hAnsi="Palatino Linotype"/>
          <w:sz w:val="21"/>
          <w:szCs w:val="21"/>
        </w:rPr>
        <w:t xml:space="preserve">to the turmoil. Meanwhile, flexible exchange rates have helped to absorb the shocks. </w:t>
      </w:r>
      <w:r>
        <w:rPr>
          <w:rFonts w:ascii="Palatino Linotype" w:hAnsi="Palatino Linotype"/>
          <w:sz w:val="21"/>
          <w:szCs w:val="21"/>
        </w:rPr>
        <w:t>Hence</w:t>
      </w:r>
      <w:r w:rsidRPr="006344C8">
        <w:rPr>
          <w:rFonts w:ascii="Palatino Linotype" w:hAnsi="Palatino Linotype"/>
          <w:sz w:val="21"/>
          <w:szCs w:val="21"/>
        </w:rPr>
        <w:t xml:space="preserve">, most EM economies </w:t>
      </w:r>
      <w:r w:rsidR="003F5382" w:rsidRPr="006344C8">
        <w:rPr>
          <w:rFonts w:ascii="Palatino Linotype" w:hAnsi="Palatino Linotype"/>
          <w:sz w:val="21"/>
          <w:szCs w:val="21"/>
        </w:rPr>
        <w:t>weathered</w:t>
      </w:r>
      <w:r w:rsidRPr="006344C8">
        <w:rPr>
          <w:rFonts w:ascii="Palatino Linotype" w:hAnsi="Palatino Linotype"/>
          <w:sz w:val="21"/>
          <w:szCs w:val="21"/>
        </w:rPr>
        <w:t xml:space="preserve"> the storm largely unscathed.</w:t>
      </w:r>
      <w:r w:rsidR="0010207D">
        <w:rPr>
          <w:rFonts w:ascii="Palatino Linotype" w:hAnsi="Palatino Linotype"/>
          <w:sz w:val="21"/>
          <w:szCs w:val="21"/>
        </w:rPr>
        <w:t>”</w:t>
      </w:r>
    </w:p>
    <w:p w14:paraId="6062B810" w14:textId="1B72E9DD" w:rsidR="006344C8" w:rsidRP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More broadly, the premium offered by EM debt now looks attractive. Emerging market currencies are the cheapest they’ve been relative to the dollar in at least two decades. Portfolio flows into EM assets have also been improving in recent weeks – a trend which we expect to continue and offer further support to the asset class.</w:t>
      </w:r>
      <w:r w:rsidR="0010207D">
        <w:rPr>
          <w:rFonts w:ascii="Palatino Linotype" w:hAnsi="Palatino Linotype"/>
          <w:sz w:val="21"/>
          <w:szCs w:val="21"/>
        </w:rPr>
        <w:t>”</w:t>
      </w:r>
    </w:p>
    <w:p w14:paraId="44430173" w14:textId="3D51FB31" w:rsidR="006344C8" w:rsidRDefault="006344C8" w:rsidP="006344C8">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 xml:space="preserve">Elsewhere in fixed income, we find the prospects for developed market </w:t>
      </w:r>
      <w:r>
        <w:rPr>
          <w:rFonts w:ascii="Palatino Linotype" w:hAnsi="Palatino Linotype"/>
          <w:sz w:val="21"/>
          <w:szCs w:val="21"/>
        </w:rPr>
        <w:t>credit</w:t>
      </w:r>
      <w:r w:rsidRPr="006344C8">
        <w:rPr>
          <w:rFonts w:ascii="Palatino Linotype" w:hAnsi="Palatino Linotype"/>
          <w:sz w:val="21"/>
          <w:szCs w:val="21"/>
        </w:rPr>
        <w:t xml:space="preserve"> uninspiring, particularly among non-investment grade issuers. We are concerned about the impact US rate hikes might have on firms that borrowed heavily during the era of easy mone</w:t>
      </w:r>
      <w:r w:rsidR="0010207D">
        <w:rPr>
          <w:rFonts w:ascii="Palatino Linotype" w:hAnsi="Palatino Linotype"/>
          <w:sz w:val="21"/>
          <w:szCs w:val="21"/>
        </w:rPr>
        <w:t>y.”</w:t>
      </w:r>
    </w:p>
    <w:p w14:paraId="10780A27" w14:textId="77777777" w:rsidR="00E42033" w:rsidRDefault="006344C8" w:rsidP="00E42033">
      <w:pPr>
        <w:jc w:val="both"/>
        <w:rPr>
          <w:rFonts w:ascii="Palatino Linotype" w:hAnsi="Palatino Linotype"/>
          <w:sz w:val="21"/>
          <w:szCs w:val="21"/>
        </w:rPr>
      </w:pPr>
      <w:r>
        <w:rPr>
          <w:rFonts w:ascii="Palatino Linotype" w:hAnsi="Palatino Linotype"/>
          <w:sz w:val="21"/>
          <w:szCs w:val="21"/>
        </w:rPr>
        <w:t>“</w:t>
      </w:r>
      <w:r w:rsidRPr="006344C8">
        <w:rPr>
          <w:rFonts w:ascii="Palatino Linotype" w:hAnsi="Palatino Linotype"/>
          <w:sz w:val="21"/>
          <w:szCs w:val="21"/>
        </w:rPr>
        <w:t>So far, markets have yet to discount the possibility of a credit crunch – both investment grade and high yield markets have proved rather resilient even though outflows from funds holding such bonds have picked up sharply in recent weeks.</w:t>
      </w:r>
      <w:r w:rsidR="00742A45">
        <w:rPr>
          <w:rFonts w:ascii="Palatino Linotype" w:hAnsi="Palatino Linotype"/>
          <w:sz w:val="21"/>
          <w:szCs w:val="21"/>
        </w:rPr>
        <w:t>”</w:t>
      </w:r>
    </w:p>
    <w:p w14:paraId="15F4ED12" w14:textId="6AE5E466" w:rsidR="00CB09C6" w:rsidRPr="00E42033" w:rsidRDefault="00CB09C6" w:rsidP="00E42033">
      <w:pPr>
        <w:jc w:val="center"/>
        <w:rPr>
          <w:rFonts w:ascii="Palatino Linotype" w:hAnsi="Palatino Linotype"/>
          <w:sz w:val="21"/>
          <w:szCs w:val="21"/>
        </w:rPr>
      </w:pPr>
      <w:r w:rsidRPr="005941A4">
        <w:rPr>
          <w:rFonts w:asciiTheme="majorHAnsi" w:hAnsiTheme="majorHAnsi" w:cs="Times New Roman"/>
          <w:b/>
          <w:sz w:val="18"/>
          <w:szCs w:val="18"/>
        </w:rPr>
        <w:t>-Ends-</w:t>
      </w:r>
    </w:p>
    <w:p w14:paraId="70378D19" w14:textId="77777777" w:rsidR="00CF58CB" w:rsidRDefault="00CF58CB" w:rsidP="00CF58CB">
      <w:pPr>
        <w:pStyle w:val="Heading2"/>
        <w:jc w:val="both"/>
      </w:pPr>
      <w:r>
        <w:lastRenderedPageBreak/>
        <w:t>Note to Editors</w:t>
      </w:r>
    </w:p>
    <w:p w14:paraId="4348F6CE" w14:textId="77777777" w:rsidR="0010207D" w:rsidRDefault="0010207D" w:rsidP="0010207D">
      <w:pPr>
        <w:jc w:val="both"/>
        <w:rPr>
          <w:rFonts w:ascii="Palatino Linotype" w:hAnsi="Palatino Linotype"/>
          <w:sz w:val="20"/>
          <w:szCs w:val="20"/>
          <w:lang w:val="en-US"/>
        </w:rPr>
      </w:pPr>
      <w:r>
        <w:rPr>
          <w:rFonts w:ascii="Palatino Linotype" w:hAnsi="Palatino Linotype"/>
          <w:sz w:val="20"/>
          <w:szCs w:val="20"/>
          <w:lang w:val="en-US"/>
        </w:rPr>
        <w:t xml:space="preserve">The </w:t>
      </w: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Group is a partnership of seven owner-managers, with principles of succession and transmission of ownership that have remained unchanged since foundation in 1805. It offers only wealth management, asset management and related asset services. The Group does not engage in investment banking, nor does it extend commercial loans. With USD 524 (CHF 512/GBP 391/EUR 451) billion in assets under management or custody at 30 September 2018, </w:t>
      </w: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is today one of the leading Europe-based independent wealth and asset managers.</w:t>
      </w:r>
    </w:p>
    <w:p w14:paraId="09550DDF" w14:textId="613117DF" w:rsidR="00692A6F" w:rsidRPr="002F191F" w:rsidRDefault="0010207D" w:rsidP="0010207D">
      <w:pPr>
        <w:pStyle w:val="BodyText"/>
        <w:jc w:val="both"/>
        <w:rPr>
          <w:rFonts w:ascii="Palatino Linotype" w:hAnsi="Palatino Linotype"/>
          <w:sz w:val="20"/>
          <w:szCs w:val="20"/>
          <w:u w:val="single"/>
          <w:lang w:val="en-US"/>
        </w:rPr>
      </w:pPr>
      <w:r>
        <w:rPr>
          <w:rFonts w:ascii="Palatino Linotype" w:hAnsi="Palatino Linotype"/>
          <w:sz w:val="20"/>
          <w:szCs w:val="20"/>
          <w:lang w:val="en-US"/>
        </w:rPr>
        <w:t xml:space="preserve">Headquartered in Geneva, Switzerland and founded there, </w:t>
      </w: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today employs more than 4,300 people. It has 27 offices in: Amsterdam, Barcelona, Basel, Brussels, Dubai, Frankfurt, Geneva, Hong Kong, Lausanne, London, Luxembourg, Madrid, Milan, Montreal, Munich, Nassau, Osaka, Paris, Rome, Singapore, Stuttgart, Taipei, Tel Aviv, Tokyo, Turin, Verona and Zurich.</w:t>
      </w:r>
    </w:p>
    <w:p w14:paraId="1F01D2FE" w14:textId="77777777" w:rsidR="00692A6F" w:rsidRDefault="00692A6F" w:rsidP="00692A6F">
      <w:pPr>
        <w:jc w:val="both"/>
        <w:rPr>
          <w:rFonts w:ascii="Palatino Linotype" w:hAnsi="Palatino Linotype"/>
          <w:sz w:val="20"/>
          <w:szCs w:val="20"/>
          <w:lang w:val="en-US"/>
        </w:rPr>
      </w:pP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Asset Management includes all the operating subsidiaries and divisions of the </w:t>
      </w: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group that carry out institutional asset management and fund management. </w:t>
      </w:r>
      <w:proofErr w:type="spellStart"/>
      <w:r>
        <w:rPr>
          <w:rFonts w:ascii="Palatino Linotype" w:hAnsi="Palatino Linotype"/>
          <w:sz w:val="20"/>
          <w:szCs w:val="20"/>
          <w:lang w:val="en-US"/>
        </w:rPr>
        <w:t>Pictet</w:t>
      </w:r>
      <w:proofErr w:type="spellEnd"/>
      <w:r>
        <w:rPr>
          <w:rFonts w:ascii="Palatino Linotype" w:hAnsi="Palatino Linotype"/>
          <w:sz w:val="20"/>
          <w:szCs w:val="20"/>
          <w:lang w:val="en-US"/>
        </w:rPr>
        <w:t xml:space="preserve"> Asset Management Limited is </w:t>
      </w:r>
      <w:proofErr w:type="spellStart"/>
      <w:r>
        <w:rPr>
          <w:rFonts w:ascii="Palatino Linotype" w:hAnsi="Palatino Linotype"/>
          <w:sz w:val="20"/>
          <w:szCs w:val="20"/>
          <w:lang w:val="en-US"/>
        </w:rPr>
        <w:t>authorised</w:t>
      </w:r>
      <w:proofErr w:type="spellEnd"/>
      <w:r>
        <w:rPr>
          <w:rFonts w:ascii="Palatino Linotype" w:hAnsi="Palatino Linotype"/>
          <w:sz w:val="20"/>
          <w:szCs w:val="20"/>
          <w:lang w:val="en-US"/>
        </w:rPr>
        <w:t xml:space="preserve"> and regulated by the UK’s Financial Conduct Authority. </w:t>
      </w:r>
    </w:p>
    <w:p w14:paraId="56047B69" w14:textId="336DBA74" w:rsidR="00D61682" w:rsidRPr="0010207D" w:rsidRDefault="00620548" w:rsidP="0010207D">
      <w:pPr>
        <w:jc w:val="both"/>
        <w:rPr>
          <w:rFonts w:ascii="Palatino Linotype" w:hAnsi="Palatino Linotype"/>
          <w:sz w:val="20"/>
          <w:szCs w:val="20"/>
          <w:lang w:val="en-US"/>
        </w:rPr>
      </w:pPr>
      <w:r>
        <w:rPr>
          <w:rFonts w:ascii="Palatino Linotype" w:hAnsi="Palatino Linotype"/>
          <w:sz w:val="20"/>
          <w:szCs w:val="20"/>
          <w:lang w:val="en-US"/>
        </w:rPr>
        <w:t>At 30th September</w:t>
      </w:r>
      <w:r w:rsidR="00692A6F">
        <w:rPr>
          <w:rFonts w:ascii="Palatino Linotype" w:hAnsi="Palatino Linotype"/>
          <w:sz w:val="20"/>
          <w:szCs w:val="20"/>
          <w:lang w:val="en-US"/>
        </w:rPr>
        <w:t xml:space="preserve"> 2018 </w:t>
      </w:r>
      <w:proofErr w:type="spellStart"/>
      <w:r w:rsidR="00692A6F">
        <w:rPr>
          <w:rFonts w:ascii="Palatino Linotype" w:hAnsi="Palatino Linotype"/>
          <w:sz w:val="20"/>
          <w:szCs w:val="20"/>
          <w:lang w:val="en-US"/>
        </w:rPr>
        <w:t>Pictet</w:t>
      </w:r>
      <w:proofErr w:type="spellEnd"/>
      <w:r w:rsidR="00692A6F">
        <w:rPr>
          <w:rFonts w:ascii="Palatino Linotype" w:hAnsi="Palatino Linotype"/>
          <w:sz w:val="20"/>
          <w:szCs w:val="20"/>
          <w:lang w:val="en-US"/>
        </w:rPr>
        <w:t xml:space="preserve"> </w:t>
      </w:r>
      <w:r>
        <w:rPr>
          <w:rFonts w:ascii="Palatino Linotype" w:hAnsi="Palatino Linotype"/>
          <w:sz w:val="20"/>
          <w:szCs w:val="20"/>
          <w:lang w:val="en-US"/>
        </w:rPr>
        <w:t>Asset Management managed USD 193 (CHF 188/ GBP 148/EUR 166</w:t>
      </w:r>
      <w:r w:rsidR="00692A6F">
        <w:rPr>
          <w:rFonts w:ascii="Palatino Linotype" w:hAnsi="Palatino Linotype"/>
          <w:sz w:val="20"/>
          <w:szCs w:val="20"/>
          <w:lang w:val="en-US"/>
        </w:rPr>
        <w:t xml:space="preserve">) billion in assets, invested in equity and bond markets worldwide. </w:t>
      </w:r>
      <w:proofErr w:type="spellStart"/>
      <w:r w:rsidR="00692A6F">
        <w:rPr>
          <w:rFonts w:ascii="Palatino Linotype" w:hAnsi="Palatino Linotype"/>
          <w:sz w:val="20"/>
          <w:szCs w:val="20"/>
          <w:lang w:val="en-US"/>
        </w:rPr>
        <w:t>Pictet</w:t>
      </w:r>
      <w:proofErr w:type="spellEnd"/>
      <w:r w:rsidR="00692A6F">
        <w:rPr>
          <w:rFonts w:ascii="Palatino Linotype" w:hAnsi="Palatino Linotype"/>
          <w:sz w:val="20"/>
          <w:szCs w:val="20"/>
          <w:lang w:val="en-US"/>
        </w:rPr>
        <w:t xml:space="preserve"> AM has seventeen business development </w:t>
      </w:r>
      <w:proofErr w:type="spellStart"/>
      <w:r w:rsidR="00692A6F">
        <w:rPr>
          <w:rFonts w:ascii="Palatino Linotype" w:hAnsi="Palatino Linotype"/>
          <w:sz w:val="20"/>
          <w:szCs w:val="20"/>
          <w:lang w:val="en-US"/>
        </w:rPr>
        <w:t>centres</w:t>
      </w:r>
      <w:proofErr w:type="spellEnd"/>
      <w:r w:rsidR="00692A6F">
        <w:rPr>
          <w:rFonts w:ascii="Palatino Linotype" w:hAnsi="Palatino Linotype"/>
          <w:sz w:val="20"/>
          <w:szCs w:val="20"/>
          <w:lang w:val="en-US"/>
        </w:rPr>
        <w:t xml:space="preserve"> worldwide, extending from London, Brussels, Geneva, Frankfurt, Amsterdam, Luxembourg, Madrid, Milan, Paris and Zurich to Dubai, Hong Kong, Taipei, Osaka, Tokyo, Singapore and Montreal.</w:t>
      </w:r>
    </w:p>
    <w:sectPr w:rsidR="00D61682" w:rsidRPr="0010207D" w:rsidSect="00943882">
      <w:headerReference w:type="default" r:id="rId9"/>
      <w:footerReference w:type="default" r:id="rId10"/>
      <w:headerReference w:type="first" r:id="rId11"/>
      <w:footerReference w:type="first" r:id="rId12"/>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8B9A" w14:textId="77777777" w:rsidR="006344C8" w:rsidRDefault="006344C8" w:rsidP="00F87FE8">
      <w:pPr>
        <w:spacing w:after="0" w:line="240" w:lineRule="auto"/>
      </w:pPr>
      <w:r>
        <w:separator/>
      </w:r>
    </w:p>
  </w:endnote>
  <w:endnote w:type="continuationSeparator" w:id="0">
    <w:p w14:paraId="3FAB5622" w14:textId="77777777" w:rsidR="006344C8" w:rsidRDefault="006344C8"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041E" w14:textId="77777777" w:rsidR="006344C8" w:rsidRDefault="006344C8"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55C26E34" wp14:editId="1F0A9D6E">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E7286"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14:paraId="7269D427" w14:textId="07BB4C73" w:rsidR="006344C8" w:rsidRDefault="0010207D" w:rsidP="00135925">
    <w:pPr>
      <w:pStyle w:val="Footer"/>
    </w:pPr>
    <w:r>
      <w:t xml:space="preserve">12. </w:t>
    </w:r>
    <w:r w:rsidR="00801B61">
      <w:t>November</w:t>
    </w:r>
    <w:r w:rsidR="006344C8">
      <w:t xml:space="preserve"> 2018 | </w:t>
    </w:r>
    <w:r w:rsidR="006344C8" w:rsidRPr="00A635EB">
      <w:rPr>
        <w:caps/>
      </w:rPr>
      <w:fldChar w:fldCharType="begin"/>
    </w:r>
    <w:r w:rsidR="006344C8" w:rsidRPr="00A635EB">
      <w:rPr>
        <w:caps/>
      </w:rPr>
      <w:instrText xml:space="preserve"> DOCPROPERTY "</w:instrText>
    </w:r>
    <w:r w:rsidR="006344C8">
      <w:rPr>
        <w:caps/>
      </w:rPr>
      <w:instrText>Document Title</w:instrText>
    </w:r>
    <w:r w:rsidR="006344C8" w:rsidRPr="00A635EB">
      <w:rPr>
        <w:caps/>
      </w:rPr>
      <w:instrText xml:space="preserve">" \* MERGEFORMAT </w:instrText>
    </w:r>
    <w:r w:rsidR="006344C8" w:rsidRPr="00A635EB">
      <w:rPr>
        <w:caps/>
      </w:rPr>
      <w:fldChar w:fldCharType="separate"/>
    </w:r>
    <w:r>
      <w:rPr>
        <w:caps/>
      </w:rPr>
      <w:t>Medienmitteilung</w:t>
    </w:r>
    <w:r w:rsidR="006344C8" w:rsidRPr="00A635EB">
      <w:rPr>
        <w:caps/>
      </w:rPr>
      <w:fldChar w:fldCharType="end"/>
    </w:r>
    <w:r w:rsidR="006344C8">
      <w:t xml:space="preserve"> | </w:t>
    </w:r>
    <w:r>
      <w:rPr>
        <w:b/>
      </w:rPr>
      <w:t>SEIT</w:t>
    </w:r>
    <w:r w:rsidR="006344C8" w:rsidRPr="001B2104">
      <w:rPr>
        <w:b/>
      </w:rPr>
      <w:t xml:space="preserve">E </w:t>
    </w:r>
    <w:r w:rsidR="006344C8" w:rsidRPr="001B2104">
      <w:rPr>
        <w:b/>
      </w:rPr>
      <w:fldChar w:fldCharType="begin"/>
    </w:r>
    <w:r w:rsidR="006344C8" w:rsidRPr="001B2104">
      <w:rPr>
        <w:b/>
      </w:rPr>
      <w:instrText xml:space="preserve"> PAGE </w:instrText>
    </w:r>
    <w:r w:rsidR="006344C8" w:rsidRPr="001B2104">
      <w:rPr>
        <w:b/>
      </w:rPr>
      <w:fldChar w:fldCharType="separate"/>
    </w:r>
    <w:r w:rsidR="006952E7">
      <w:rPr>
        <w:b/>
        <w:noProof/>
      </w:rPr>
      <w:t>3</w:t>
    </w:r>
    <w:r w:rsidR="006344C8"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E336B" w14:textId="77777777" w:rsidR="006344C8" w:rsidRDefault="006344C8">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F5818" w14:textId="77777777" w:rsidR="006344C8" w:rsidRPr="005719B5" w:rsidRDefault="006344C8" w:rsidP="007B0B7D">
      <w:pPr>
        <w:pStyle w:val="Base"/>
      </w:pPr>
    </w:p>
  </w:footnote>
  <w:footnote w:type="continuationSeparator" w:id="0">
    <w:p w14:paraId="74573CD9" w14:textId="77777777" w:rsidR="006344C8" w:rsidRDefault="006344C8"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26498" w14:textId="77777777" w:rsidR="006344C8" w:rsidRDefault="006344C8" w:rsidP="006A7893">
    <w:pPr>
      <w:pStyle w:val="Header"/>
    </w:pPr>
  </w:p>
  <w:p w14:paraId="6E29FDBF" w14:textId="77777777" w:rsidR="006344C8" w:rsidRDefault="006344C8"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C984" w14:textId="6EBD967D" w:rsidR="006344C8" w:rsidRPr="00C011D8" w:rsidRDefault="006344C8"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754644F2" wp14:editId="23CFFCC4">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17F10E"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10207D">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04FC0"/>
    <w:rsid w:val="00013B89"/>
    <w:rsid w:val="00014EB7"/>
    <w:rsid w:val="00014FF7"/>
    <w:rsid w:val="00023CC1"/>
    <w:rsid w:val="00024239"/>
    <w:rsid w:val="00024D02"/>
    <w:rsid w:val="00024F5D"/>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6261"/>
    <w:rsid w:val="000E1969"/>
    <w:rsid w:val="000E59CA"/>
    <w:rsid w:val="000E644F"/>
    <w:rsid w:val="000F4E19"/>
    <w:rsid w:val="000F7060"/>
    <w:rsid w:val="000F7824"/>
    <w:rsid w:val="0010207D"/>
    <w:rsid w:val="001026A0"/>
    <w:rsid w:val="00106ED2"/>
    <w:rsid w:val="0010726D"/>
    <w:rsid w:val="001076A3"/>
    <w:rsid w:val="001221FE"/>
    <w:rsid w:val="00123407"/>
    <w:rsid w:val="001255CC"/>
    <w:rsid w:val="00126CE9"/>
    <w:rsid w:val="00131D70"/>
    <w:rsid w:val="00132769"/>
    <w:rsid w:val="0013310D"/>
    <w:rsid w:val="001336FB"/>
    <w:rsid w:val="00133E36"/>
    <w:rsid w:val="00135925"/>
    <w:rsid w:val="00142D19"/>
    <w:rsid w:val="00145C3A"/>
    <w:rsid w:val="0014676E"/>
    <w:rsid w:val="00146912"/>
    <w:rsid w:val="00146E39"/>
    <w:rsid w:val="00150993"/>
    <w:rsid w:val="001534D3"/>
    <w:rsid w:val="00153898"/>
    <w:rsid w:val="00155E4F"/>
    <w:rsid w:val="001604A2"/>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790E"/>
    <w:rsid w:val="002456EA"/>
    <w:rsid w:val="002463BD"/>
    <w:rsid w:val="00247473"/>
    <w:rsid w:val="002520B1"/>
    <w:rsid w:val="002538A3"/>
    <w:rsid w:val="00256B56"/>
    <w:rsid w:val="00260A57"/>
    <w:rsid w:val="00266945"/>
    <w:rsid w:val="00270883"/>
    <w:rsid w:val="002763B8"/>
    <w:rsid w:val="0028119F"/>
    <w:rsid w:val="00281AE2"/>
    <w:rsid w:val="00282627"/>
    <w:rsid w:val="00286E76"/>
    <w:rsid w:val="00292BED"/>
    <w:rsid w:val="002A3395"/>
    <w:rsid w:val="002A5C36"/>
    <w:rsid w:val="002B35C6"/>
    <w:rsid w:val="002C0C28"/>
    <w:rsid w:val="002C2F2B"/>
    <w:rsid w:val="002C373E"/>
    <w:rsid w:val="002C5D5F"/>
    <w:rsid w:val="002C7E31"/>
    <w:rsid w:val="002D2863"/>
    <w:rsid w:val="002D55DE"/>
    <w:rsid w:val="002E2F78"/>
    <w:rsid w:val="002E2FBF"/>
    <w:rsid w:val="002E6533"/>
    <w:rsid w:val="002E6881"/>
    <w:rsid w:val="002F07A7"/>
    <w:rsid w:val="002F1526"/>
    <w:rsid w:val="002F240A"/>
    <w:rsid w:val="002F3928"/>
    <w:rsid w:val="002F3B36"/>
    <w:rsid w:val="002F4EB7"/>
    <w:rsid w:val="00306636"/>
    <w:rsid w:val="0031513F"/>
    <w:rsid w:val="0032355D"/>
    <w:rsid w:val="00324366"/>
    <w:rsid w:val="00326E77"/>
    <w:rsid w:val="003332E7"/>
    <w:rsid w:val="00333ED1"/>
    <w:rsid w:val="00334176"/>
    <w:rsid w:val="00335874"/>
    <w:rsid w:val="00337A0B"/>
    <w:rsid w:val="00337DCE"/>
    <w:rsid w:val="003423AB"/>
    <w:rsid w:val="00353936"/>
    <w:rsid w:val="003574B5"/>
    <w:rsid w:val="00357E44"/>
    <w:rsid w:val="0036025E"/>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5382"/>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2F8"/>
    <w:rsid w:val="004460AE"/>
    <w:rsid w:val="00446C4A"/>
    <w:rsid w:val="0044732C"/>
    <w:rsid w:val="00447B66"/>
    <w:rsid w:val="004545A2"/>
    <w:rsid w:val="0047229E"/>
    <w:rsid w:val="00472743"/>
    <w:rsid w:val="00475CBC"/>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6574"/>
    <w:rsid w:val="0060718A"/>
    <w:rsid w:val="006078E8"/>
    <w:rsid w:val="006149B6"/>
    <w:rsid w:val="00620548"/>
    <w:rsid w:val="006228CB"/>
    <w:rsid w:val="006267C4"/>
    <w:rsid w:val="006269FA"/>
    <w:rsid w:val="006276A1"/>
    <w:rsid w:val="00631AFA"/>
    <w:rsid w:val="006344C8"/>
    <w:rsid w:val="00636618"/>
    <w:rsid w:val="00640E71"/>
    <w:rsid w:val="006426BE"/>
    <w:rsid w:val="006453F6"/>
    <w:rsid w:val="006571FF"/>
    <w:rsid w:val="00660553"/>
    <w:rsid w:val="00660C5C"/>
    <w:rsid w:val="0066362C"/>
    <w:rsid w:val="0066799C"/>
    <w:rsid w:val="00672110"/>
    <w:rsid w:val="006729DA"/>
    <w:rsid w:val="00681241"/>
    <w:rsid w:val="00682573"/>
    <w:rsid w:val="00682F5E"/>
    <w:rsid w:val="006835B3"/>
    <w:rsid w:val="00686B2A"/>
    <w:rsid w:val="00687DB2"/>
    <w:rsid w:val="00692A6F"/>
    <w:rsid w:val="00693FF4"/>
    <w:rsid w:val="006952E7"/>
    <w:rsid w:val="006A00B4"/>
    <w:rsid w:val="006A7893"/>
    <w:rsid w:val="006B5481"/>
    <w:rsid w:val="006C0A00"/>
    <w:rsid w:val="006C1823"/>
    <w:rsid w:val="006C4305"/>
    <w:rsid w:val="006C5BEF"/>
    <w:rsid w:val="006C68C6"/>
    <w:rsid w:val="006D0B4D"/>
    <w:rsid w:val="006D3634"/>
    <w:rsid w:val="006D62F4"/>
    <w:rsid w:val="006E29C5"/>
    <w:rsid w:val="006E2BEF"/>
    <w:rsid w:val="006E7B46"/>
    <w:rsid w:val="006F1EBB"/>
    <w:rsid w:val="006F72E5"/>
    <w:rsid w:val="007027B7"/>
    <w:rsid w:val="00703180"/>
    <w:rsid w:val="0070633F"/>
    <w:rsid w:val="00712D71"/>
    <w:rsid w:val="007173DB"/>
    <w:rsid w:val="0072110D"/>
    <w:rsid w:val="00722635"/>
    <w:rsid w:val="00723094"/>
    <w:rsid w:val="00723569"/>
    <w:rsid w:val="00724F90"/>
    <w:rsid w:val="0073094E"/>
    <w:rsid w:val="00732144"/>
    <w:rsid w:val="00734284"/>
    <w:rsid w:val="0074108B"/>
    <w:rsid w:val="00742A45"/>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01B61"/>
    <w:rsid w:val="00810416"/>
    <w:rsid w:val="008135CF"/>
    <w:rsid w:val="008136DB"/>
    <w:rsid w:val="0081375E"/>
    <w:rsid w:val="0081487D"/>
    <w:rsid w:val="00824800"/>
    <w:rsid w:val="00824D3C"/>
    <w:rsid w:val="00825691"/>
    <w:rsid w:val="00831BCA"/>
    <w:rsid w:val="00840EBA"/>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3249"/>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4EC7"/>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E5381"/>
    <w:rsid w:val="00BF0F94"/>
    <w:rsid w:val="00BF31B8"/>
    <w:rsid w:val="00C011D8"/>
    <w:rsid w:val="00C020E3"/>
    <w:rsid w:val="00C0756F"/>
    <w:rsid w:val="00C0778B"/>
    <w:rsid w:val="00C07B82"/>
    <w:rsid w:val="00C1153D"/>
    <w:rsid w:val="00C203C8"/>
    <w:rsid w:val="00C216A2"/>
    <w:rsid w:val="00C23542"/>
    <w:rsid w:val="00C272DE"/>
    <w:rsid w:val="00C30E3E"/>
    <w:rsid w:val="00C32E2D"/>
    <w:rsid w:val="00C42B1D"/>
    <w:rsid w:val="00C46F95"/>
    <w:rsid w:val="00C542A3"/>
    <w:rsid w:val="00C575C1"/>
    <w:rsid w:val="00C5784C"/>
    <w:rsid w:val="00C64FE8"/>
    <w:rsid w:val="00C728AF"/>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1682"/>
    <w:rsid w:val="00D654AF"/>
    <w:rsid w:val="00D67073"/>
    <w:rsid w:val="00D72EA5"/>
    <w:rsid w:val="00D74090"/>
    <w:rsid w:val="00D74542"/>
    <w:rsid w:val="00D75C65"/>
    <w:rsid w:val="00D804FF"/>
    <w:rsid w:val="00D90751"/>
    <w:rsid w:val="00D9178D"/>
    <w:rsid w:val="00D9776D"/>
    <w:rsid w:val="00D97C1D"/>
    <w:rsid w:val="00DA298E"/>
    <w:rsid w:val="00DA40AF"/>
    <w:rsid w:val="00DA4FF9"/>
    <w:rsid w:val="00DA7054"/>
    <w:rsid w:val="00DB0606"/>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D13"/>
    <w:rsid w:val="00E01310"/>
    <w:rsid w:val="00E023DF"/>
    <w:rsid w:val="00E03068"/>
    <w:rsid w:val="00E05E87"/>
    <w:rsid w:val="00E072D1"/>
    <w:rsid w:val="00E0775B"/>
    <w:rsid w:val="00E11156"/>
    <w:rsid w:val="00E121D0"/>
    <w:rsid w:val="00E1290E"/>
    <w:rsid w:val="00E16BE4"/>
    <w:rsid w:val="00E175F7"/>
    <w:rsid w:val="00E24B69"/>
    <w:rsid w:val="00E2543C"/>
    <w:rsid w:val="00E31AFB"/>
    <w:rsid w:val="00E33D22"/>
    <w:rsid w:val="00E34AE4"/>
    <w:rsid w:val="00E35FD8"/>
    <w:rsid w:val="00E36D77"/>
    <w:rsid w:val="00E37A7E"/>
    <w:rsid w:val="00E4033C"/>
    <w:rsid w:val="00E42033"/>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22AD6"/>
    <w:rsid w:val="00F22D75"/>
    <w:rsid w:val="00F24CE6"/>
    <w:rsid w:val="00F25515"/>
    <w:rsid w:val="00F32656"/>
    <w:rsid w:val="00F34D21"/>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BF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47388694">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74642152">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647010496">
      <w:bodyDiv w:val="1"/>
      <w:marLeft w:val="0"/>
      <w:marRight w:val="0"/>
      <w:marTop w:val="0"/>
      <w:marBottom w:val="0"/>
      <w:divBdr>
        <w:top w:val="none" w:sz="0" w:space="0" w:color="auto"/>
        <w:left w:val="none" w:sz="0" w:space="0" w:color="auto"/>
        <w:bottom w:val="none" w:sz="0" w:space="0" w:color="auto"/>
        <w:right w:val="none" w:sz="0" w:space="0" w:color="auto"/>
      </w:divBdr>
    </w:div>
    <w:div w:id="1686634787">
      <w:bodyDiv w:val="1"/>
      <w:marLeft w:val="0"/>
      <w:marRight w:val="0"/>
      <w:marTop w:val="0"/>
      <w:marBottom w:val="0"/>
      <w:divBdr>
        <w:top w:val="none" w:sz="0" w:space="0" w:color="auto"/>
        <w:left w:val="none" w:sz="0" w:space="0" w:color="auto"/>
        <w:bottom w:val="none" w:sz="0" w:space="0" w:color="auto"/>
        <w:right w:val="none" w:sz="0" w:space="0" w:color="auto"/>
      </w:divBdr>
    </w:div>
    <w:div w:id="1766538080">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2740-4129-4674-B3FA-AFE16E37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4837</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3</cp:revision>
  <cp:lastPrinted>2015-03-03T14:05:00Z</cp:lastPrinted>
  <dcterms:created xsi:type="dcterms:W3CDTF">2018-11-12T09:08:00Z</dcterms:created>
  <dcterms:modified xsi:type="dcterms:W3CDTF">2018-11-12T09:18:00Z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NewReviewCycle">
    <vt:lpwstr/>
  </property>
  <property fmtid="{D5CDD505-2E9C-101B-9397-08002B2CF9AE}" pid="13" name="_AdHocReviewCycleID">
    <vt:i4>1373374043</vt:i4>
  </property>
  <property fmtid="{D5CDD505-2E9C-101B-9397-08002B2CF9AE}" pid="14" name="_EmailSubject">
    <vt:lpwstr>Monatlicher Investor-Outlook "Barometer" / Medienmitteilung von Pictet Asset Management: "From rout to recovery"</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-1748587689</vt:i4>
  </property>
</Properties>
</file>